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89</w:t>
      </w:r>
    </w:p>
    <w:p>
      <w:r>
        <w:t>Bundesgericht (BGE), 2000-01-01, FR</w:t>
      </w:r>
    </w:p>
    <w:p>
      <w:r>
        <w:rPr>
          <w:b/>
        </w:rPr>
        <w:t xml:space="preserve">Quelle: </w:t>
      </w:r>
      <w:r>
        <w:t>https://mcp.opencaselaw.ch/entscheid/bge_126 III 89</w:t>
      </w:r>
    </w:p>
    <w:p>
      <w:r>
        <w:t>FR: ATF 126 III 89</w:t>
      </w:r>
    </w:p>
    <w:p>
      <w:r>
        <w:t>IT: DTF 126 III 89</w:t>
      </w:r>
    </w:p>
    <w:p>
      <w:pPr>
        <w:pStyle w:val="Heading2"/>
      </w:pPr>
      <w:r>
        <w:t>Regeste</w:t>
      </w:r>
    </w:p>
    <w:p>
      <w:r>
        <w:t>Regeste Einkommenspfändung (Art. 93 SchKG); Berechnung des pfändbaren Betrags auf Grund des in einer Pauschalveranlagung festgestellten Einkommens. Auskunftspflicht des Schuldners gegenüber dem Amt (Art. 91 Abs. 1 Ziff. 2 SchKG). Bei Fehlen sicherer Anhaltspunkte, wie etwa einer regelmässig geführten Buchhaltung, ist die Ermittlung des Einkommens eines Schuldners, der eine selbständige Erwerbstätigkeit ausübt, gestützt auf die vorhandenen Indizien vorzunehmen, nötigenfalls durch Schätzung (E. 3a). Im vorliegenden Fall wird berücksichtigt, dass der in einer Pauschalbesteuerung festgestellte Betrag dem Aufwand der Lebenshaltung des Schuldners zu entsprechen scheint. Die Pauschalveranlagung war nur eine Möglichkeit, denn es hätte dem Schuldner frei gestanden, sich einer ordentlichen Veranlagung zu unterziehen, womit seine tatsächlichen Verhältnisse hätten berücksichtigt werden können (E. 3b und c).</w:t>
      </w:r>
    </w:p>
    <w:p>
      <w:pPr>
        <w:pStyle w:val="Heading2"/>
      </w:pPr>
      <w:r>
        <w:t>Erwägungen</w:t>
      </w:r>
    </w:p>
    <w:p>
      <w:r>
        <w:rPr>
          <w:b/>
        </w:rPr>
        <w:t>E. 3</w:t>
      </w:r>
    </w:p>
    <w:p>
      <w:r>
        <w:t>a) En vertu de l' art. 91 al. 1 ch. 2 LP , le débiteur est tenu, sous menace des peines prévues par la loi, d'indiquer jusqu'à due concurrence tous les biens qui lui appartiennent, même ceux qui ne sont pas en sa possession, ainsi que ses créances et autres droits contre des tiers. Si le débiteur exerce une activité lucrative indépendante, l'office des poursuites l'interroge sur le genre d'activité qu'il exerce, ainsi que sur la nature et le volume de ses affaires; il estime le montant du revenu en ordonnant d'office les enquêtes nécessaires et en prenant tous les renseignements jugés utiles; il peut en outre se faire remettre la comptabilité et tous documents concernant l'exploitation du débiteur, qui est tenu de fournir les renseignements exigés (JEAN-CLAUDE MATHEY, La saisie de salaire et de revenu, thèse Lausanne 1989, p. 188 ch. 394, p. 191 ch. 402 ss et p. 195 ch. 414 avec les références de jurisprudence). Lorsque l'instruction à laquelle procède l'office ne révèle aucun élément certain, il faut tenir compte des indices à disposition ( ATF 81 III 147 ). Si le débiteur ne tient pas de comptabilité régulière, le produit de son activité indépendante doit être déterminé par comparaison avec d'autres activités semblables, au besoin par appréciation ( ATF 112 III 19 consid. 2c; ATF 106 III 11 consid. 2 p. 14 et les références). BGE 126 III 89 S. 92 b) En l'espèce, le seul élément fourni à l'office pour lui permettre d'apprécier la situation du débiteur était la déclaration d'impôt 1997/1998. Cette dernière fixant à 200'000 fr. par année le train de vie de la famille du débiteur, la Cour cantonale pouvait admettre, en accord d'ailleurs avec l'office et l'autorité inférieure de surveillance, que celui-ci disposait d'un revenu de cet ordre de grandeur, même s'il ne s'agissait que d'une présomption. Le montant arrêté dans une taxation forfaitaire est en effet supposé correspondre à la dépense annuelle du contribuable et de sa famille (WALTER RYSER/BERNARD ROLLI, Précis de droit fiscal suisse, 3e éd., p. 156 ch. 40); mais l'imposition forfaitaire sur la dépense étant une simple faculté accordée à certains étrangers (art. 17 et 18 de la loi vaudoise sur le impôts directs cantonaux; cf. XAVIER OBERSON, Droit fiscal suisse, § 6 n. 53), le contribuable taxé sur cette base peut y renoncer, en particulier lorsque l'impôt qu'il doit payer à ce titre s'avère trop élevé par rapport à ses revenus réels. L'arrêt attaqué relève pertinemment à ce propos qu'il n'est pas vraisemblable que le recourant, s'il ne dispose vraiment que de revenus minimes ou d'aucun revenu comme il le prétend, continue à vouloir être soumis à l'imposition forfaitaire alors qu'il n'y est pas obligé, payant ainsi plus de 50'000 fr. d'impôts par an. De plus, le chiffre de 200'000 fr. retenu au titre de revenu n'étant qu'une présomption, rien ne l'empêche de renverser cette présomption en apportant les preuves nécessaires. La Cour cantonale considère par ailleurs que l'affirmation du débiteur selon laquelle il vivrait grâce à des crédits accordés par des proches ne résiste pas à l'examen: en effet, à moins que le poursuivi n'entende vivre à crédit sans jamais rien rembourser, il faut bien qu'il réalise de temps à autre des gains lui permettant de rembourser ses bailleurs de fonds, comme il semble d'ailleurs l'admettre implicitement. Quant au calcul du montant saisissable, la Cour cantonale est partie du revenu de la taxation forfaitaire, soit 200'000 fr. par an ou 16'666 fr. par mois, et en a déduit le minimum vital du couple par 1'350 fr., celui des enfants par 1'020 fr. et les cotisations d'assurance-maladie par 1'000 fr. 10, pour arriver à une quotité saisissable de 13'296 fr., qu'elle a arrondie à 13'000 fr. Contrairement à l'office, l'autorité supérieure de surveillance n'a, à juste titre, pas tenu compte de frais d'acquisition du revenu, car le débiteur n'avait pas établi qu'il s'en acquittait effectivement (cf. MATHEY, op. cit., p. 186 ch. 389 s.; GEORGES VONDER MÜHLL, in: Kommentar zum Bundesgesetz über Schuldbetreibung und Konkurs, n. 25 ad art. 93). Elle n'a pas pris en compte non plus l'impôt forfaitaire, dont le paiement BGE 126 III 89 S. 93 par le débiteur lui-même rendait applicable la règle générale selon laquelle le versement d'un impôt n'est pas une dépense indispensable au sens de l' art. 93 LP et n'est pas pris en compte dans le calcul du minimum vital ( ATF 95 III 39 consid. 3 et arrêt cité; MATHEY, op. cit. p. 69 ch. 132 s.; VONDER MÜHLL, loc. cit., n. 33 ad 93). c) Rien dans le recours ne permet de remettre en cause le raisonnement et le calcul ci-dessus, qui sont conformes au droit fédéral et auxquels l'office se rallie d'ailleurs dans sa détermination. Le recourant ne peut se contenter de déclarer qu'il ne lui resterait plus rien pour vivre compte tenu de la saisie litigieuse et des impôts qu'il paie, alors qu'il est constant qu'il n'a jamais fourni les renseignements nécessaires à l'appréciation de sa situation (existence de mandats, réalisation de gains). Il conteste par ailleurs en vain l'argument de la Cour cantonale selon lequel "il continue à vouloir se soumettre à l'impôt spécial précité alors qu'il n'y est pas obligé". On l'a vu, l'imposition forfaitaire n'est qu'une faculté; il est donc loisible au recourant d'y renoncer au profit d'une imposition ordinaire qui permettrait de prendre en considération sa prétendue situation réelle sur la base d'une déclaration complète de ses revenus. Enfin, c'est à tort que le recourant reproche à la Cour cantonale de s'être fondée sur un accord fiscal remontant à 12 ans, puisque celle-ci a basé son calcul du revenu déterminant et de la quotité saisissable sur la déclaration d'impôt 1997/1998.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